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widowControl/>
        <w:snapToGrid w:val="0"/>
        <w:contextualSpacing/>
        <w:jc w:val="center"/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中国健康教育中心公开招聘</w:t>
      </w:r>
      <w:r>
        <w:rPr>
          <w:rFonts w:hint="eastAsia" w:cs="Times New Roman"/>
          <w:b/>
          <w:color w:val="000000"/>
          <w:kern w:val="0"/>
          <w:sz w:val="36"/>
          <w:szCs w:val="36"/>
          <w:shd w:val="clear" w:color="auto" w:fill="FFFFFF"/>
          <w:lang w:val="en-US" w:eastAsia="zh-CN"/>
        </w:rPr>
        <w:t>高校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  <w:lang w:eastAsia="zh-CN"/>
        </w:rPr>
        <w:t>毕业生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需求计划表</w:t>
      </w:r>
    </w:p>
    <w:tbl>
      <w:tblPr>
        <w:tblStyle w:val="2"/>
        <w:tblW w:w="143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660"/>
        <w:gridCol w:w="1180"/>
        <w:gridCol w:w="800"/>
        <w:gridCol w:w="78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人数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岗位职责与应聘条件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</w:rPr>
              <w:t>健康管理岗</w:t>
            </w: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京外生源）</w:t>
            </w:r>
          </w:p>
        </w:tc>
        <w:tc>
          <w:tcPr>
            <w:tcW w:w="266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公共卫生与预防医学类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（1004）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、临床医学类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（1002）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药学类（1007）、医学技术类（1010）、中西医结合类（1006）、公共事业管理（120401）、社会医学与卫生事业管理（120402）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参与开展中心健康教育和健康促进重点工作。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承担策划、组织和实施相关健康促进活动，草拟方案，并参与组织实施。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4.京外生源毕业生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</w:rPr>
              <w:t>健康管理岗</w:t>
            </w: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京内生源）</w:t>
            </w:r>
          </w:p>
        </w:tc>
        <w:tc>
          <w:tcPr>
            <w:tcW w:w="2660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参与开展中心健康教育和健康促进重点工作。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承担策划、组织和实施相关健康促进活动，草拟方案，并参与组织实施。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4.京内生源指入学前为北京市常住户口的人员，不含北京高校集体户口。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卫生宣传岗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（京外生源）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公共卫生与预防医学类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（1004）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、临床医学类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（1002）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、药学类（1007）、医学技术类（1010）、中西医结合类（1006）、公共事业管理（120401）、社会医学与卫生事业管理（120402）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1.参与开展中心健康教育和健康促进重点工作。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2.承担卫生健康领域的理论宣传、政策宣传、社会宣传和典型宣传工作的联系协调、策划设计。</w:t>
            </w:r>
          </w:p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4.京外生源毕业生。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图文设计岗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（京内生源）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设计学类（1305）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图文宣传项目的创意策划、美术设计及图像处理工作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图文宣传项目前期的实地考察、测量，以及项目中后期的印刷、制作、搭建等环节的质量把控和监管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4.京内生源指入学前为北京市常住户口的人员，不含北京高校集体户口。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党建工作岗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（京外生源）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马克思主义理论类（0305）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协助党委做好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中心党务工作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2.参与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意识形态工作、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精神文明建设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、统战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工会、共青团和妇工委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等事项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4.京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生源毕业生。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综合管理岗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（京内生源）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公共卫生与预防医学类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（1004）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、临床医学类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（1002）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、药学类（1007）、医学技术类（1010）、中西医结合类（1006）、财政学类（0202）、经济学类（02）、金融学类（0203）、经济学类（0201）、经济与贸易类（0204）、应用经济学类（020200）、电子商务类（1208）、工商管理类（1202）、公共管理类（1204）、管理科学与工程类（1201）、图书情报与档案管理类（1205）、物流管理与工程类（1206）、英语（050201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1.参与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年度工作计划、总结等重要文稿起草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中心内部制度建设和政务信息工作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2.承担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公文处理、档案管理、机要保密、会议管理、信访接待和干部值班等日常运转和综合协调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4.京内生源指入学前为北京市常住户口的人员，不含北京高校集体户口。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366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1.专业要求参照教育部《普通高等学校本科专业目录》和《学位授予和人才培养学科目录》。所学学科专业接近，但不在上述参考学科专业目录中的考生，可通过电话联系招聘单位确认报名资格。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2.岗位要求专业为应聘人员最高学历的对应专业。</w:t>
            </w:r>
          </w:p>
        </w:tc>
      </w:tr>
    </w:tbl>
    <w:p>
      <w:pPr>
        <w:widowControl/>
        <w:snapToGrid w:val="0"/>
        <w:contextualSpacing/>
        <w:jc w:val="both"/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463" w:right="1440" w:bottom="146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NTQwNmRmZTIyMzBlZGI1MmUxYjgzYzIwMTA3OTUifQ=="/>
  </w:docVars>
  <w:rsids>
    <w:rsidRoot w:val="43322F7E"/>
    <w:rsid w:val="0AFD696E"/>
    <w:rsid w:val="31F56E58"/>
    <w:rsid w:val="4332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2943</Words>
  <Characters>3160</Characters>
  <Lines>0</Lines>
  <Paragraphs>0</Paragraphs>
  <TotalTime>0</TotalTime>
  <ScaleCrop>false</ScaleCrop>
  <LinksUpToDate>false</LinksUpToDate>
  <CharactersWithSpaces>3162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2023-02-17T05:33:00Z</dcterms:created>
  <dc:creator>汤宏</dc:creator>
  <cp:lastModifiedBy>哥达</cp:lastModifiedBy>
  <dcterms:modified xsi:type="dcterms:W3CDTF">2023-02-17T13:16:16Z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E0162AA36CE945F884169FB56B257183</vt:lpwstr>
  </property>
</Properties>
</file>