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widowControl/>
        <w:snapToGrid w:val="0"/>
        <w:contextualSpacing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中国健康教育中心公开招聘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应届毕业生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需求计划表</w:t>
      </w:r>
    </w:p>
    <w:p>
      <w:pPr>
        <w:widowControl/>
        <w:snapToGrid w:val="0"/>
        <w:contextualSpacing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</w:pPr>
    </w:p>
    <w:tbl>
      <w:tblPr>
        <w:tblStyle w:val="2"/>
        <w:tblpPr w:leftFromText="180" w:rightFromText="180" w:vertAnchor="text" w:horzAnchor="page" w:tblpX="1310" w:tblpY="100"/>
        <w:tblOverlap w:val="never"/>
        <w:tblW w:w="14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630"/>
        <w:gridCol w:w="1430"/>
        <w:gridCol w:w="1130"/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8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岗位职责与应聘条件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</w:rPr>
              <w:t>健康管理岗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（京外生源）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公共卫生与预防医学类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（1004）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、临床医学类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（1002）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、新闻传播学类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（0503）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、心理学类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（0711）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、外国语言文学类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（0502）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、公共管理类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（1204）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及以上学历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承担策划、组织和实施相关健康促进活动，草拟方案，并参与组织实施。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4.京外生源毕业生。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科普技术岗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（京外生源）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公共卫生与预防医学类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（1004）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、临床医学类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（1002）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、新闻传播学类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（0503）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、心理学类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（0711）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、外国语言文学类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（0502）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、公共管理类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（1204）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及以上学历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负责策划、组织和实施相关健康科普工作。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4.京外生源毕业生。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科研教学岗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（京内生源）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公共卫生与预防医学类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（1004）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、临床医学类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（1002）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、新闻传播学类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（0503）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、心理学类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（0711）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、外国语言文学类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（0502）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、公共管理类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（1204）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本科及以上学历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参与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中心科研项目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与教学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的管理和督导、内部职工培训、学生管理、外来人员进修等事项。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科技档案的具体管理，及所承担工作范围内文件起草、档案整理、建章立制、培训和对外交流。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4.京内生源指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入学前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为北京市常住户口的人员，不含北京高校集体户口。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1.专业要求参照教育部《普通高等学校本科专业目录》（2020）和《学位授予和人才培养学科目录》（2018）。所学学科专业接近，但不在上述参考学科专业目录中的考生，可通过电话联系招聘单位确认报名资格。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2.岗位要求专业为应聘人员最高学历的对应专业。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NjA3YjRhZTI1ZGNlMTY2Yjk4OGU5NzNhYWZmYjkifQ=="/>
  </w:docVars>
  <w:rsids>
    <w:rsidRoot w:val="7FAF7A36"/>
    <w:rsid w:val="7FA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2022-05-17T11:37:00Z</dcterms:created>
  <dc:creator>GEDA</dc:creator>
  <cp:lastModifiedBy>GEDA</cp:lastModifiedBy>
  <dcterms:modified xsi:type="dcterms:W3CDTF">2022-05-17T11:40:40Z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BB7F86F249FA44FFAF1FE43016895642</vt:lpwstr>
  </property>
</Properties>
</file>